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72" w:rsidRPr="004E5E12" w:rsidRDefault="00F10ED7">
      <w:pPr>
        <w:spacing w:after="0" w:line="276" w:lineRule="auto"/>
        <w:ind w:firstLine="709"/>
        <w:jc w:val="right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bookmarkStart w:id="0" w:name="_GoBack"/>
      <w:bookmarkEnd w:id="0"/>
      <w:r w:rsidRPr="004E5E1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Приложение 1</w:t>
      </w:r>
    </w:p>
    <w:p w:rsidR="00F10ED7" w:rsidRDefault="00F10ED7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10ED7" w:rsidRDefault="00F10ED7">
      <w:pPr>
        <w:spacing w:after="0" w:line="276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ED7" w:rsidRDefault="00F10E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Информация о</w:t>
      </w:r>
      <w:r w:rsidR="0038615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б итогах деятельности Фонда поддержки предпринимательства Югры «Мой Бизнес» за 2024 год </w:t>
      </w:r>
    </w:p>
    <w:p w:rsidR="00FF7A72" w:rsidRDefault="0038615C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о планах на 2025 год</w:t>
      </w:r>
    </w:p>
    <w:p w:rsidR="00FF7A72" w:rsidRDefault="00FF7A7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highlight w:val="cyan"/>
        </w:rPr>
      </w:pPr>
    </w:p>
    <w:p w:rsidR="00FF7A72" w:rsidRDefault="0038615C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Состояние малого и среднего бизнеса в Югре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начало 2025 года в округе зарегистрировано более 64 тысяч субъектов МСП. Это на 3,3% больше, чем в прошлом году.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самозанятых граждан – свыше 102 тысяч человек, что на 34,5% больше, чем в 2023 году. 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 в сфере МСП работает более 269 тысяч человек, что на 8,4% больше чем в предыдущим годом.</w:t>
      </w:r>
    </w:p>
    <w:p w:rsidR="00FF7A72" w:rsidRDefault="0038615C">
      <w:pPr>
        <w:spacing w:after="0" w:line="312" w:lineRule="auto"/>
        <w:jc w:val="center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Достижения и значимые события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Югра по итогам 2024 года вошла в Топ-10 Рейтинга креативных регионов России. Рейтинг разработан Институтом статистических исследований и экономики знаний Национального исследовательского университета «Высшая школа экономики». 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Также округ вошел в Топ-10 регионов РФ по количеству предпринимателей со статусом «социальное предприятие» (408).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 занял 1-е место среди субъектов РФ по количеству программ развития МСП - поставщика с возможностью заключения офсетного контракта. </w:t>
      </w:r>
    </w:p>
    <w:p w:rsidR="00FF7A72" w:rsidRDefault="003861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Югре национальный проект  «Малое  и среднее предпринимательство и поддержка предпринимательской инициативы», по данным АНО «Национальные приоритеты», занял 2-е место среди всех нацпроектов по упоминаемости нацпроекта на медиапорталах и в средствах массовой информации. 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2024 году Фонд поддержки предпринимательства Югры «Мой Бизнес» (далее – Фонд) получил федеральную премию «Мой бизнес» в номинации «Лучшая интернет-коммуникация» за сайт бизнесюгры.рф с навигатором мер поддержки. 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Форум «Бизнес-экспедиция», организованный Фондом, стал лауреатом премии «Больше, чем путешествие» в номинации «Больше, чем тур».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Фонд обеспечил реализацию 15 инструментов Регионального экспортного стандарта 2.0 (при 13 обязательных), благодаря чему Югра вошла в число регионов-лидеров по поддержке экспорта.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Югорский предпринимательский форум, который прошел в рамках ЮЭФ, собрал 900 участников, включая предпринимателей, экспертов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представителей власти. В программу вошли панельные дискуссии, мастер-классы и деловые встречи.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Впервые в регионе проведен Слёт креативных предпринимателей Югры, участвовало 700 человек. В рамках слета также впервые вручена премия</w:t>
      </w:r>
      <w:r w:rsidR="00F10ED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«КИ–ТЫ», на которую поступило 204 заявки; победителями стали 22 проекта.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Три югорские компании стали призерами регионального этапа премии «Экспортер года» в УрФО. Финал премии прошел в Ханты-Мансийске. 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ООО «Марлин ойл тулз» (Нефтеюганск) заняло 1-е место в номинации «Экспортер года в сфере промышленности» (нефтяное оборудование).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ООО «СФАГНУМ» (Ханты-Мансийск) – 3-е место в номинации «Базовая продукция АПК» (сфагновый мох).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ООО «ЛПК ХОЛЬЦ» (Советский район) – 3-е место в номинации «Трейдер года» (пиломатериалы).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поддержке Фонда НГМУП «Школьное питание» (Нефтеюганск) разработана программа развития поставщиков безглютеновой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витаминизированной продукции. Это уже четвертая подобная программа, направленная на импортозамещение.</w:t>
      </w:r>
    </w:p>
    <w:p w:rsidR="00FF7A72" w:rsidRDefault="00FF7A72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7A72" w:rsidRDefault="0038615C">
      <w:pPr>
        <w:spacing w:after="0" w:line="312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Оказанные услуги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2024 году Фонд «Мой Бизнес» оказал предпринимателям более 16 тысяч услуг и мер поддержки (на 5% больше, чем в 2023 году)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F7A72" w:rsidRDefault="0038615C" w:rsidP="0038615C">
      <w:pPr>
        <w:pStyle w:val="af8"/>
        <w:numPr>
          <w:ilvl w:val="0"/>
          <w:numId w:val="1"/>
        </w:numPr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Более 9 тысяч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информационно-консультационных услуг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(+12% к 2023 году).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</w:pPr>
      <w:r>
        <w:rPr>
          <w:color w:val="000000" w:themeColor="text1"/>
          <w:sz w:val="28"/>
          <w:szCs w:val="28"/>
        </w:rPr>
        <w:t xml:space="preserve">В 2024 году Фонд «Мой Бизнес» оказал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1 466 комплексных услуг</w:t>
      </w:r>
      <w:r>
        <w:rPr>
          <w:color w:val="000000" w:themeColor="text1"/>
          <w:sz w:val="28"/>
          <w:szCs w:val="28"/>
        </w:rPr>
        <w:t xml:space="preserve"> для субъектов малого и среднего предпринимательства – это на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29% больше</w:t>
      </w:r>
      <w:r>
        <w:rPr>
          <w:color w:val="000000" w:themeColor="text1"/>
          <w:sz w:val="28"/>
          <w:szCs w:val="28"/>
        </w:rPr>
        <w:t>, чем в прошлом году.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</w:pPr>
      <w:r>
        <w:rPr>
          <w:color w:val="000000" w:themeColor="text1"/>
          <w:sz w:val="28"/>
          <w:szCs w:val="28"/>
        </w:rPr>
        <w:lastRenderedPageBreak/>
        <w:t xml:space="preserve">Особое внимание уделялось начинающим предпринимателям: для них предоставлено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44 комплекса услуг</w:t>
      </w:r>
      <w:r>
        <w:rPr>
          <w:color w:val="000000" w:themeColor="text1"/>
          <w:sz w:val="28"/>
          <w:szCs w:val="28"/>
        </w:rPr>
        <w:t xml:space="preserve"> (рост в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2 раза</w:t>
      </w:r>
      <w:r>
        <w:rPr>
          <w:color w:val="000000" w:themeColor="text1"/>
          <w:sz w:val="28"/>
          <w:szCs w:val="28"/>
        </w:rPr>
        <w:t xml:space="preserve">). Также увеличилась поддержка самозанятых – им оказано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62 комплекса услуг</w:t>
      </w:r>
      <w:r>
        <w:rPr>
          <w:color w:val="000000" w:themeColor="text1"/>
          <w:sz w:val="28"/>
          <w:szCs w:val="28"/>
        </w:rPr>
        <w:t xml:space="preserve"> (рост на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44,2%</w:t>
      </w:r>
      <w:r>
        <w:rPr>
          <w:color w:val="000000" w:themeColor="text1"/>
          <w:sz w:val="28"/>
          <w:szCs w:val="28"/>
        </w:rPr>
        <w:t>).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</w:pPr>
      <w:r>
        <w:rPr>
          <w:rStyle w:val="af5"/>
          <w:b w:val="0"/>
          <w:bCs w:val="0"/>
          <w:color w:val="000000" w:themeColor="text1"/>
          <w:sz w:val="28"/>
          <w:szCs w:val="28"/>
        </w:rPr>
        <w:t>Горячая линия</w:t>
      </w:r>
      <w:r>
        <w:rPr>
          <w:color w:val="000000" w:themeColor="text1"/>
          <w:sz w:val="28"/>
          <w:szCs w:val="28"/>
        </w:rPr>
        <w:t xml:space="preserve"> Фонда обработала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1 566 обращений</w:t>
      </w:r>
      <w:r>
        <w:rPr>
          <w:color w:val="000000" w:themeColor="text1"/>
          <w:sz w:val="28"/>
          <w:szCs w:val="28"/>
        </w:rPr>
        <w:t xml:space="preserve"> (на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23% больше</w:t>
      </w:r>
      <w:r>
        <w:rPr>
          <w:color w:val="000000" w:themeColor="text1"/>
          <w:sz w:val="28"/>
          <w:szCs w:val="28"/>
        </w:rPr>
        <w:t>, чем в 2023 году). Основные темы: финансовая и образовательная поддержка, консультации по открытию и ведению бизнеса.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</w:pPr>
      <w:r>
        <w:rPr>
          <w:color w:val="000000" w:themeColor="text1"/>
          <w:sz w:val="28"/>
          <w:szCs w:val="28"/>
        </w:rPr>
        <w:t xml:space="preserve">В рамках сотрудничества с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Департаментом труда и занятости населения</w:t>
      </w:r>
      <w:r>
        <w:rPr>
          <w:color w:val="000000" w:themeColor="text1"/>
          <w:sz w:val="28"/>
          <w:szCs w:val="28"/>
        </w:rPr>
        <w:t xml:space="preserve"> </w:t>
      </w:r>
      <w:r w:rsidR="00F10ED7">
        <w:rPr>
          <w:color w:val="000000" w:themeColor="text1"/>
          <w:sz w:val="28"/>
          <w:szCs w:val="28"/>
        </w:rPr>
        <w:t xml:space="preserve">автономного округа </w:t>
      </w:r>
      <w:r>
        <w:rPr>
          <w:color w:val="000000" w:themeColor="text1"/>
          <w:sz w:val="28"/>
          <w:szCs w:val="28"/>
        </w:rPr>
        <w:t xml:space="preserve">проведена экспертиза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565 бизнес-планов</w:t>
      </w:r>
      <w:r>
        <w:rPr>
          <w:color w:val="000000" w:themeColor="text1"/>
          <w:sz w:val="28"/>
          <w:szCs w:val="28"/>
        </w:rPr>
        <w:t xml:space="preserve"> безработных граждан (рост на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10,4%</w:t>
      </w:r>
      <w:r>
        <w:rPr>
          <w:color w:val="000000" w:themeColor="text1"/>
          <w:sz w:val="28"/>
          <w:szCs w:val="28"/>
        </w:rPr>
        <w:t>). Это помогло им получить субсидии на открытие собственного дела.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2024 года Фонд активно консультирует получателей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социальных контрактов</w:t>
      </w:r>
      <w:r>
        <w:rPr>
          <w:color w:val="000000" w:themeColor="text1"/>
          <w:sz w:val="28"/>
          <w:szCs w:val="28"/>
        </w:rPr>
        <w:t xml:space="preserve"> и финансовой поддержки от центров занятости. Всего предоставлено </w:t>
      </w:r>
      <w:r>
        <w:rPr>
          <w:rStyle w:val="af5"/>
          <w:b w:val="0"/>
          <w:bCs w:val="0"/>
          <w:color w:val="000000" w:themeColor="text1"/>
          <w:sz w:val="28"/>
          <w:szCs w:val="28"/>
        </w:rPr>
        <w:t>более 800 консультаций</w:t>
      </w:r>
      <w:r>
        <w:rPr>
          <w:color w:val="000000" w:themeColor="text1"/>
          <w:sz w:val="28"/>
          <w:szCs w:val="28"/>
        </w:rPr>
        <w:t>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2024 году 408 предпринимателей Югры получили статус «социальное предприятие»</w:t>
      </w:r>
      <w:r w:rsidR="00F10E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(наибольшее количество социальных предприятий ведут деятельность в Сургуте – 116, Нижневартовске – 71, Ханты-Мансийске – 51). По этому показателю наш регион вошел в Топ-10 России. По сравнению с 2023 годом прирост составил 7,4%, а с 2020 года – 98%. 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Фонд оказал 932 индивидуальные консультации (+11%) и более 3 700 услуг, включая помощь в получении статуса, участие в грантовых конкурсах, разработку финансовых моделей и продвижение. По сравнению с 2023 годом объем услуг вырос на 27,5%.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В 2024 году запущена новая мера поддержки креативных предпринимателей – организация ярмарок и площадок для презентации </w:t>
      </w:r>
      <w:r>
        <w:rPr>
          <w:color w:val="000000" w:themeColor="text1"/>
          <w:sz w:val="28"/>
          <w:szCs w:val="28"/>
        </w:rPr>
        <w:br/>
        <w:t xml:space="preserve">и продажи их продукции, которые прошли в городах Ханты-Мансийске, Урае, Нягани, Пыть-Яхе, Белоярском районе с участием более 500 мастеров. 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Товарный знак «Сделано в Югре!». На конец 2024 года его использовали 239 предприятий. 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Заключено соглашение с автономной некоммерческой организацией «Российская система качества». В 2024 году сертификаты качества получили 30 предпринимателей;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 2024 году разработан, выпущен и направлен крупным компаниям автономного округа электронный каталог продукции. В него включ</w:t>
      </w:r>
      <w:r w:rsidR="004E5E12">
        <w:rPr>
          <w:color w:val="000000" w:themeColor="text1"/>
          <w:sz w:val="28"/>
          <w:szCs w:val="28"/>
        </w:rPr>
        <w:t>ены 20 югорских производителей.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lastRenderedPageBreak/>
        <w:t>Фонд оказал маркетинговую поддержку 23 субъектам креативных индустрий: разработан брендбук, настроена реклама, созданы фото- и видеоматериалы. Это помогло увеличить продажи СМСП на 15%.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 целях развития креативных индустрий автономный округ выступил в качестве пилотного региона по внедрению Регионального стандарта развития креативных индустрий, разработанного Агентством стратегических инициатив.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 2024 году проведен Слёт креативных предпринимателей Югры с участием 700 человек в рамках которого впервые вручена премия «КИ–ТЫ» (22 победителя из 204 заявок). На Слете проведена питч-сессия, в целях презентации продукции креативных предпринимателей.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В рамках развития инновационного предпринимательства поддержано 10 инновационных проектов на общую сумму 38,6 млн рублей по направлениям – IT, топливно-энергетический комплекс и биотехнологии. 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Расширена сеть ЦМИТов: новые центры открыты в Нижневартовске и Нягани.</w:t>
      </w:r>
    </w:p>
    <w:p w:rsidR="00FF7A72" w:rsidRDefault="0038615C">
      <w:pPr>
        <w:pStyle w:val="af6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Внедрен Муниципальный инновационный стандарт в соответствии с которым заключено 22 соглашения с органами местного самоуправления муниципальных образований автономного округа. </w:t>
      </w:r>
    </w:p>
    <w:p w:rsidR="00FF7A72" w:rsidRDefault="0038615C" w:rsidP="0038615C">
      <w:pPr>
        <w:pStyle w:val="af8"/>
        <w:numPr>
          <w:ilvl w:val="0"/>
          <w:numId w:val="1"/>
        </w:numPr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6 тысяч образовательных услуг (– 3%, снижение в связи с изменением структуры образовательных мероприятий, переориентацией на акселерационные программы)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F7A72" w:rsidRDefault="0038615C" w:rsidP="0038615C">
      <w:pPr>
        <w:pStyle w:val="af8"/>
        <w:numPr>
          <w:ilvl w:val="0"/>
          <w:numId w:val="1"/>
        </w:numPr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Финансовых услуг – 190 услуг (рост на 17%), на сумму 90 млн рублей: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компенсацию части затрат за покупку оборудования, лицензионных программных продуктов, сертификацию продукции и обучение персонала получили 27 субъектов МСП на сумму 21,4 млн рублей.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компенсации банковской процентной ставки и лизинговых платежей получили 59 субъектов МСП на сумму 40,6 млн рублей, в том числе 2 субъекта МСП, созданные участниками СВО, и 8 креативных предпринимателей. Общая сумма - 5,6 млн рублей;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«Экспортный кешбэк» предоставлен 13 субъектов МСП на сумму 10 млн рублей.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кешбэк на маркетплейсы получили 35 субъектов МСП на общую сумму 5 млн рублей. 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страховой кешбэк получили 46 субъектов МСП на сумму 13 млн рублей. </w:t>
      </w:r>
    </w:p>
    <w:p w:rsidR="00FF7A72" w:rsidRDefault="0038615C" w:rsidP="0038615C">
      <w:pPr>
        <w:pStyle w:val="af8"/>
        <w:numPr>
          <w:ilvl w:val="0"/>
          <w:numId w:val="1"/>
        </w:numPr>
        <w:spacing w:after="0" w:line="312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 экспортная поддержка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2024 году услугами Центра поддержки экспорта воспользовались 253 СМСП (+ 33% в сравнении с 2023 годом), 188 предпринимателей обучено ведению внешнеэкономической деятельности (+ 50% в сравнении с 2023 годом).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Проведено 10 международных мероприятий: выставки, бизнес-миссии, реверсные бизнес-миссии (+25% в сравнении с 2023 годом).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оказанных мер поддержки</w:t>
      </w:r>
      <w:r w:rsidR="0056749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 компании заключили экспортные контракты (план выполнен на 367%).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поддержанного экспорта: 6,54 млн долларов США (план выполнен на 311%).</w:t>
      </w:r>
    </w:p>
    <w:p w:rsidR="00FF7A72" w:rsidRDefault="0038615C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география экспорта расширена до 50 стран +7 стран к 2023 году), из них экспорт в 41 страну осуществляется при государственной поддержке (+27 стран к 2023 году).</w:t>
      </w:r>
    </w:p>
    <w:p w:rsidR="00FF7A72" w:rsidRDefault="0038615C">
      <w:pPr>
        <w:spacing w:after="0" w:line="312" w:lineRule="auto"/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эффективности государственной поддержки: на 1 рубль господдержки получено 45,7 рублей экспортной выручки (в 2023 году – 48 рублей), что на 52% превышает целевое значение в 30 рублей на 1 рубль господдержки. </w:t>
      </w:r>
    </w:p>
    <w:p w:rsidR="00FF7A72" w:rsidRDefault="003861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Показатели эффективности</w:t>
      </w:r>
    </w:p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3825"/>
        <w:gridCol w:w="1277"/>
        <w:gridCol w:w="1559"/>
        <w:gridCol w:w="1417"/>
        <w:gridCol w:w="1393"/>
        <w:gridCol w:w="25"/>
      </w:tblGrid>
      <w:tr w:rsidR="00FF7A72">
        <w:trPr>
          <w:trHeight w:val="45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vAlign w:val="center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План на 2024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2024 года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 выполнения</w:t>
            </w:r>
          </w:p>
        </w:tc>
      </w:tr>
      <w:tr w:rsidR="00FF7A72">
        <w:trPr>
          <w:trHeight w:val="510"/>
        </w:trPr>
        <w:tc>
          <w:tcPr>
            <w:tcW w:w="94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Комплексные и образовательные мероприятия</w:t>
            </w:r>
          </w:p>
        </w:tc>
      </w:tr>
      <w:tr w:rsidR="00FF7A72">
        <w:trPr>
          <w:trHeight w:val="5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СМСП, получивших комплексные 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</w:tr>
      <w:tr w:rsidR="00FF7A72">
        <w:trPr>
          <w:trHeight w:val="10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граждан, желающих вести бизнес, начинающих и действующих предпринимателей, получивших комплекс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</w:tr>
      <w:tr w:rsidR="00FF7A72">
        <w:trPr>
          <w:trHeight w:val="5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 w:rsidP="001D35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Обучено и сопровождено начинающих СМСП и самозан</w:t>
            </w:r>
            <w:r w:rsidR="001D35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="001D35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</w:t>
            </w:r>
          </w:p>
        </w:tc>
      </w:tr>
      <w:tr w:rsidR="00FF7A72">
        <w:trPr>
          <w:trHeight w:val="76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самозанятых граждан, получивших услуги, в том числе прошедших обучение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350</w:t>
            </w:r>
          </w:p>
        </w:tc>
      </w:tr>
      <w:tr w:rsidR="00FF7A72">
        <w:trPr>
          <w:trHeight w:val="5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созданных СМСП из числа физических лиц, получивших поддержку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</w:tr>
      <w:tr w:rsidR="00FF7A72">
        <w:trPr>
          <w:trHeight w:val="76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Обучено физических лиц, самозанятых граждан и СМСП для реализации и коммерциализации креативных продуктов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1 019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</w:tr>
      <w:tr w:rsidR="00FF7A72">
        <w:trPr>
          <w:gridAfter w:val="1"/>
          <w:wAfter w:w="25" w:type="dxa"/>
          <w:trHeight w:val="405"/>
        </w:trPr>
        <w:tc>
          <w:tcPr>
            <w:tcW w:w="3827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Финансовая поддержка</w:t>
            </w:r>
          </w:p>
          <w:p w:rsidR="00FF7A72" w:rsidRDefault="00FF7A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</w:tr>
      <w:tr w:rsidR="00FF7A72">
        <w:trPr>
          <w:gridAfter w:val="1"/>
          <w:wAfter w:w="25" w:type="dxa"/>
          <w:trHeight w:val="255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Поддержка экспорта</w:t>
            </w:r>
          </w:p>
        </w:tc>
      </w:tr>
      <w:tr w:rsidR="00FF7A72">
        <w:trPr>
          <w:gridAfter w:val="1"/>
          <w:wAfter w:w="25" w:type="dxa"/>
          <w:trHeight w:val="76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СМСП-экспортеров, заключивших экспортные контракты по результатам услуг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367</w:t>
            </w:r>
          </w:p>
        </w:tc>
      </w:tr>
      <w:tr w:rsidR="00FF7A72">
        <w:trPr>
          <w:gridAfter w:val="1"/>
          <w:wAfter w:w="25" w:type="dxa"/>
          <w:trHeight w:val="76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Ежегодный объем экспорта СМСП, получивших поддержку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млн долларов США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</w:t>
            </w:r>
          </w:p>
        </w:tc>
      </w:tr>
      <w:tr w:rsidR="00FF7A72">
        <w:trPr>
          <w:gridAfter w:val="1"/>
          <w:wAfter w:w="25" w:type="dxa"/>
          <w:trHeight w:val="49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 финансовой поддержки экспортерам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</w:tr>
      <w:tr w:rsidR="00FF7A72">
        <w:trPr>
          <w:gridAfter w:val="1"/>
          <w:wAfter w:w="25" w:type="dxa"/>
          <w:trHeight w:val="255"/>
        </w:trPr>
        <w:tc>
          <w:tcPr>
            <w:tcW w:w="9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2EFDA"/>
            <w:noWrap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Поддержка креативного бизнеса</w:t>
            </w:r>
          </w:p>
        </w:tc>
      </w:tr>
      <w:tr w:rsidR="00FF7A72">
        <w:trPr>
          <w:gridAfter w:val="1"/>
          <w:wAfter w:w="25" w:type="dxa"/>
          <w:trHeight w:val="5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Включено в Реестр субъектов креативных индустрий Югры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</w:tr>
      <w:tr w:rsidR="00FF7A72">
        <w:trPr>
          <w:gridAfter w:val="1"/>
          <w:wAfter w:w="25" w:type="dxa"/>
          <w:trHeight w:val="5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A72" w:rsidRDefault="00386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СМСП, получившие Инновационный сертификат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ун. ед.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A72" w:rsidRDefault="00386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</w:tr>
    </w:tbl>
    <w:p w:rsidR="00FF7A72" w:rsidRDefault="00FF7A7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7A72" w:rsidRDefault="0038615C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Планы на 2025 год: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</w:rPr>
        <w:t>еализация новой меры финансовой поддержка субъектов МСП в приоритетных отраслях экономики (обрабатывающие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деятельность административная и сопутствующие услуги, транспортировка и хранение, деятельность в области здравоохранения и социальных услуг) и приоритетных категориях (участник СВО, субъект, созданный лицом с инвалидностью, субъект креативных индустрий, социальные предприятия);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</w:rPr>
        <w:t>ткрытие мультибрендовых точек продаж (более 15 товаропроизводителей);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</w:rPr>
        <w:t>оздание цифровой графической студии (более 70 обученных);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</w:rPr>
        <w:t>рмарки креативных индустрий (более 300 участников);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оздание системы непрерывного обучения с доступом к бизнес-образованию 24/7, акцент на практических навыках, поддержка стартапов, стимулирование партнерства среди предпринимателей;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386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еализация  комплексной программы «СВОй бизнес» </w:t>
      </w:r>
      <w:r w:rsidR="00386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для участников специальной военной операции, в которой примут участие </w:t>
      </w:r>
      <w:r w:rsidR="00386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менее 40 человек;</w:t>
      </w:r>
    </w:p>
    <w:p w:rsidR="00FF7A72" w:rsidRDefault="001D35E5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</w:t>
      </w:r>
      <w:r w:rsidR="00386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оддержка работодателей, трудоустроивших ветеранов и участников СВО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7A72" w:rsidRDefault="0038615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Финансовый план на 2025 год</w:t>
      </w:r>
    </w:p>
    <w:p w:rsidR="00FF7A72" w:rsidRPr="001773C4" w:rsidRDefault="001D35E5" w:rsidP="00AD1BB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38615C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Ханты-Мансийского автономного округа – Югры от 28.11.2024 № 80-оз </w:t>
      </w:r>
      <w:r w:rsidR="001773C4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бюджете Ханты-Мансийского автономного округа – Югры на 2025 год и на плановый период 2026 и 2027 годов» </w:t>
      </w:r>
      <w:r w:rsidR="0038615C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>на 2025 год</w:t>
      </w:r>
      <w:r w:rsidR="004E5E12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предусмотрено</w:t>
      </w:r>
      <w:r w:rsidR="001773C4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15C" w:rsidRPr="00AD1BB6">
        <w:rPr>
          <w:rFonts w:ascii="Times New Roman" w:hAnsi="Times New Roman" w:cs="Times New Roman"/>
          <w:color w:val="000000" w:themeColor="text1"/>
          <w:sz w:val="28"/>
          <w:szCs w:val="28"/>
        </w:rPr>
        <w:t>591,</w:t>
      </w:r>
      <w:r w:rsidR="0038615C">
        <w:rPr>
          <w:rFonts w:ascii="Times New Roman" w:hAnsi="Times New Roman" w:cs="Times New Roman"/>
          <w:color w:val="000000" w:themeColor="text1"/>
          <w:sz w:val="28"/>
          <w:szCs w:val="28"/>
        </w:rPr>
        <w:t>9 млн рублей, в том числе: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реализацию мероприятий регионального проекта «Малое и среднее предпринимательство и поддержка индивидуальной предпринимательской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инициативы» – 577,2 млн рублей;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реализацию мероприятий регионального проекта «Креативные индустрии Югры» – 12,5 млн рублей;</w:t>
      </w:r>
    </w:p>
    <w:p w:rsidR="00FF7A72" w:rsidRDefault="0038615C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реализацию ведомственного проекта «Проведение мероприятий в сфере территориального маркетинга и брендинга» – 2,2 млн рублей.</w:t>
      </w:r>
    </w:p>
    <w:p w:rsidR="00FF7A72" w:rsidRDefault="00FF7A72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FF7A7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64" w:rsidRDefault="00E96064">
      <w:pPr>
        <w:spacing w:after="0" w:line="240" w:lineRule="auto"/>
      </w:pPr>
      <w:r>
        <w:separator/>
      </w:r>
    </w:p>
  </w:endnote>
  <w:endnote w:type="continuationSeparator" w:id="0">
    <w:p w:rsidR="00E96064" w:rsidRDefault="00E9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64" w:rsidRDefault="00E96064">
      <w:pPr>
        <w:spacing w:after="0" w:line="240" w:lineRule="auto"/>
      </w:pPr>
      <w:r>
        <w:separator/>
      </w:r>
    </w:p>
  </w:footnote>
  <w:footnote w:type="continuationSeparator" w:id="0">
    <w:p w:rsidR="00E96064" w:rsidRDefault="00E9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027605"/>
      <w:docPartObj>
        <w:docPartGallery w:val="Page Numbers (Top of Page)"/>
        <w:docPartUnique/>
      </w:docPartObj>
    </w:sdtPr>
    <w:sdtEndPr/>
    <w:sdtContent>
      <w:p w:rsidR="00FF7A72" w:rsidRDefault="0038615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8D9">
          <w:rPr>
            <w:noProof/>
          </w:rPr>
          <w:t>2</w:t>
        </w:r>
        <w:r>
          <w:fldChar w:fldCharType="end"/>
        </w:r>
      </w:p>
    </w:sdtContent>
  </w:sdt>
  <w:p w:rsidR="00FF7A72" w:rsidRDefault="00FF7A7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0139F"/>
    <w:multiLevelType w:val="hybridMultilevel"/>
    <w:tmpl w:val="FA10EFD8"/>
    <w:lvl w:ilvl="0" w:tplc="CCFC667A">
      <w:start w:val="1"/>
      <w:numFmt w:val="decimal"/>
      <w:lvlText w:val="%1."/>
      <w:lvlJc w:val="left"/>
    </w:lvl>
    <w:lvl w:ilvl="1" w:tplc="D16E1EA2">
      <w:start w:val="1"/>
      <w:numFmt w:val="lowerLetter"/>
      <w:lvlText w:val="%2."/>
      <w:lvlJc w:val="left"/>
      <w:pPr>
        <w:ind w:left="1440" w:hanging="360"/>
      </w:pPr>
    </w:lvl>
    <w:lvl w:ilvl="2" w:tplc="81C00A24">
      <w:start w:val="1"/>
      <w:numFmt w:val="lowerRoman"/>
      <w:lvlText w:val="%3."/>
      <w:lvlJc w:val="right"/>
      <w:pPr>
        <w:ind w:left="2160" w:hanging="180"/>
      </w:pPr>
    </w:lvl>
    <w:lvl w:ilvl="3" w:tplc="7722E9B2">
      <w:start w:val="1"/>
      <w:numFmt w:val="decimal"/>
      <w:lvlText w:val="%4."/>
      <w:lvlJc w:val="left"/>
      <w:pPr>
        <w:ind w:left="2880" w:hanging="360"/>
      </w:pPr>
    </w:lvl>
    <w:lvl w:ilvl="4" w:tplc="18B8BF84">
      <w:start w:val="1"/>
      <w:numFmt w:val="lowerLetter"/>
      <w:lvlText w:val="%5."/>
      <w:lvlJc w:val="left"/>
      <w:pPr>
        <w:ind w:left="3600" w:hanging="360"/>
      </w:pPr>
    </w:lvl>
    <w:lvl w:ilvl="5" w:tplc="E4845154">
      <w:start w:val="1"/>
      <w:numFmt w:val="lowerRoman"/>
      <w:lvlText w:val="%6."/>
      <w:lvlJc w:val="right"/>
      <w:pPr>
        <w:ind w:left="4320" w:hanging="180"/>
      </w:pPr>
    </w:lvl>
    <w:lvl w:ilvl="6" w:tplc="63EE0EEC">
      <w:start w:val="1"/>
      <w:numFmt w:val="decimal"/>
      <w:lvlText w:val="%7."/>
      <w:lvlJc w:val="left"/>
      <w:pPr>
        <w:ind w:left="5040" w:hanging="360"/>
      </w:pPr>
    </w:lvl>
    <w:lvl w:ilvl="7" w:tplc="B3903A38">
      <w:start w:val="1"/>
      <w:numFmt w:val="lowerLetter"/>
      <w:lvlText w:val="%8."/>
      <w:lvlJc w:val="left"/>
      <w:pPr>
        <w:ind w:left="5760" w:hanging="360"/>
      </w:pPr>
    </w:lvl>
    <w:lvl w:ilvl="8" w:tplc="F0CC42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72"/>
    <w:rsid w:val="001773C4"/>
    <w:rsid w:val="001D35E5"/>
    <w:rsid w:val="0038615C"/>
    <w:rsid w:val="004E5E12"/>
    <w:rsid w:val="00567493"/>
    <w:rsid w:val="00AD1BB6"/>
    <w:rsid w:val="00C768D9"/>
    <w:rsid w:val="00C91BA5"/>
    <w:rsid w:val="00E96064"/>
    <w:rsid w:val="00F10ED7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9461C-5CCA-4EB8-8F75-AF2EC5FC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5">
    <w:name w:val="Strong"/>
    <w:basedOn w:val="a0"/>
    <w:uiPriority w:val="22"/>
    <w:qFormat/>
    <w:rPr>
      <w:b/>
      <w:bCs/>
    </w:r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Pr>
      <w:i/>
      <w:iCs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line number"/>
    <w:basedOn w:val="a0"/>
    <w:uiPriority w:val="99"/>
    <w:semiHidden/>
    <w:unhideWhenUsed/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Sagadieva</dc:creator>
  <cp:keywords/>
  <dc:description/>
  <cp:lastModifiedBy>Гапонова Ирина Валерьевна</cp:lastModifiedBy>
  <cp:revision>2</cp:revision>
  <dcterms:created xsi:type="dcterms:W3CDTF">2025-04-09T04:23:00Z</dcterms:created>
  <dcterms:modified xsi:type="dcterms:W3CDTF">2025-04-09T04:23:00Z</dcterms:modified>
</cp:coreProperties>
</file>